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00" w:lineRule="auto"/>
        <w:rPr>
          <w:rFonts w:ascii="黑体" w:hAnsi="宋体" w:eastAsia="黑体"/>
          <w:b/>
          <w:color w:val="000000"/>
          <w:sz w:val="44"/>
          <w:szCs w:val="44"/>
        </w:rPr>
      </w:pPr>
      <w:r>
        <w:rPr>
          <w:rFonts w:hint="eastAsia" w:ascii="黑体" w:hAnsi="宋体" w:eastAsia="黑体"/>
          <w:b/>
          <w:color w:val="000000"/>
          <w:sz w:val="44"/>
          <w:szCs w:val="44"/>
        </w:rPr>
        <w:t>《</w:t>
      </w:r>
      <w:r>
        <w:rPr>
          <w:rFonts w:hint="eastAsia" w:ascii="黑体" w:hAnsi="黑体" w:eastAsia="黑体" w:cs="黑体"/>
          <w:color w:val="auto"/>
          <w:kern w:val="0"/>
          <w:sz w:val="44"/>
          <w:szCs w:val="44"/>
        </w:rPr>
        <w:t>生物医学专业竞赛实验</w:t>
      </w:r>
      <w:r>
        <w:rPr>
          <w:rFonts w:hint="eastAsia" w:ascii="黑体" w:hAnsi="宋体" w:eastAsia="黑体"/>
          <w:b/>
          <w:color w:val="000000"/>
          <w:sz w:val="44"/>
          <w:szCs w:val="44"/>
        </w:rPr>
        <w:t>》实验教学大纲</w:t>
      </w:r>
    </w:p>
    <w:p>
      <w:pPr>
        <w:snapToGrid w:val="0"/>
        <w:spacing w:line="300" w:lineRule="auto"/>
        <w:contextualSpacing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</w:rPr>
        <w:t xml:space="preserve">课程代码： 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BME22010</w:t>
      </w:r>
      <w:r>
        <w:rPr>
          <w:rFonts w:hint="eastAsia" w:asciiTheme="minorEastAsia" w:hAnsiTheme="minorEastAsia"/>
          <w:b w:val="0"/>
          <w:bCs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 xml:space="preserve">                   开课学院：</w:t>
      </w:r>
      <w:r>
        <w:rPr>
          <w:rFonts w:hint="eastAsia" w:asciiTheme="minorEastAsia" w:hAnsiTheme="minorEastAsia"/>
          <w:b w:val="0"/>
          <w:bCs/>
          <w:color w:val="000000"/>
          <w:sz w:val="24"/>
          <w:szCs w:val="24"/>
        </w:rPr>
        <w:t>生物工程学院</w:t>
      </w:r>
    </w:p>
    <w:p>
      <w:pPr>
        <w:snapToGrid w:val="0"/>
        <w:spacing w:line="300" w:lineRule="auto"/>
        <w:ind w:left="4819" w:hanging="4819" w:hangingChars="2000"/>
        <w:contextualSpacing/>
        <w:rPr>
          <w:rFonts w:hint="eastAsia" w:asciiTheme="minorEastAsia" w:hAnsi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</w:rPr>
        <w:t>课程中文名称：</w:t>
      </w:r>
      <w:r>
        <w:rPr>
          <w:rFonts w:hint="eastAsia" w:asciiTheme="minorEastAsia" w:hAnsiTheme="minorEastAsia"/>
          <w:b/>
          <w:color w:val="000000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课程英文名称：</w:t>
      </w:r>
    </w:p>
    <w:p>
      <w:pPr>
        <w:snapToGrid w:val="0"/>
        <w:spacing w:line="300" w:lineRule="auto"/>
        <w:ind w:left="4819" w:hanging="4800" w:hangingChars="2000"/>
        <w:contextualSpacing/>
        <w:rPr>
          <w:rFonts w:hint="eastAsia" w:asciiTheme="minorEastAsia" w:hAnsiTheme="minorEastAsia" w:eastAsiaTheme="min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生物医学专业竞赛实验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/>
          <w:b w:val="0"/>
          <w:bCs w:val="0"/>
          <w:color w:val="000000"/>
          <w:sz w:val="24"/>
          <w:szCs w:val="24"/>
        </w:rPr>
        <w:t>Biomedical  Professional Competition Experiment</w:t>
      </w:r>
    </w:p>
    <w:p>
      <w:pPr>
        <w:snapToGrid w:val="0"/>
        <w:spacing w:line="300" w:lineRule="auto"/>
        <w:contextualSpacing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</w:rPr>
        <w:t>课程类别：</w:t>
      </w:r>
      <w:r>
        <w:rPr>
          <w:rFonts w:hint="eastAsia" w:asciiTheme="minorEastAsia" w:hAnsiTheme="minorEastAsia"/>
          <w:b/>
          <w:color w:val="000000" w:themeColor="text1"/>
          <w:sz w:val="24"/>
          <w:szCs w:val="24"/>
        </w:rPr>
        <w:t>、</w:t>
      </w: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</w:rPr>
        <w:t xml:space="preserve">专业  </w:t>
      </w:r>
      <w:r>
        <w:rPr>
          <w:rFonts w:hint="eastAsia" w:asciiTheme="minorEastAsia" w:hAnsiTheme="minorEastAsia"/>
          <w:b/>
          <w:color w:val="000000" w:themeColor="text1"/>
          <w:sz w:val="24"/>
          <w:szCs w:val="24"/>
        </w:rPr>
        <w:t xml:space="preserve">                      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课程性质：</w:t>
      </w: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:lang w:val="en-US" w:eastAsia="zh-CN"/>
        </w:rPr>
        <w:t>选</w:t>
      </w: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</w:rPr>
        <w:t>修</w:t>
      </w:r>
    </w:p>
    <w:p>
      <w:pPr>
        <w:snapToGrid w:val="0"/>
        <w:spacing w:line="300" w:lineRule="auto"/>
        <w:contextualSpacing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</w:rPr>
        <w:t xml:space="preserve">开课学期： </w:t>
      </w:r>
      <w:r>
        <w:rPr>
          <w:rFonts w:hint="eastAsia" w:asciiTheme="minorEastAsia" w:hAnsiTheme="minorEastAsia"/>
          <w:b w:val="0"/>
          <w:bCs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/>
          <w:b w:val="0"/>
          <w:bCs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 xml:space="preserve">                        </w:t>
      </w:r>
      <w:r>
        <w:rPr>
          <w:rFonts w:hint="eastAsia" w:asciiTheme="minorEastAsia" w:hAnsiTheme="minorEastAsia"/>
          <w:b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课程负责人：</w:t>
      </w:r>
      <w:r>
        <w:rPr>
          <w:rFonts w:hint="eastAsia" w:asciiTheme="minorEastAsia" w:hAnsiTheme="minorEastAsia"/>
          <w:b w:val="0"/>
          <w:bCs/>
          <w:color w:val="000000"/>
          <w:sz w:val="24"/>
          <w:szCs w:val="24"/>
        </w:rPr>
        <w:t>赵晓明</w:t>
      </w:r>
    </w:p>
    <w:p>
      <w:pPr>
        <w:snapToGrid w:val="0"/>
        <w:spacing w:line="300" w:lineRule="auto"/>
        <w:contextualSpacing/>
        <w:rPr>
          <w:rFonts w:hint="eastAsia" w:asciiTheme="minorEastAsia" w:hAnsiTheme="minorEastAsia" w:eastAsiaTheme="minorEastAsia"/>
          <w:b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</w:rPr>
        <w:t>课程总学时：</w:t>
      </w:r>
      <w:r>
        <w:rPr>
          <w:rFonts w:hint="eastAsia" w:asciiTheme="minorEastAsia" w:hAnsiTheme="minorEastAsia"/>
          <w:b w:val="0"/>
          <w:bCs/>
          <w:color w:val="000000"/>
          <w:sz w:val="24"/>
          <w:szCs w:val="24"/>
          <w:lang w:val="en-US" w:eastAsia="zh-CN"/>
        </w:rPr>
        <w:t>32</w:t>
      </w:r>
      <w:r>
        <w:rPr>
          <w:rFonts w:hint="eastAsia" w:asciiTheme="minorEastAsia" w:hAnsiTheme="minorEastAsia"/>
          <w:b w:val="0"/>
          <w:bCs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 xml:space="preserve">                        课程总学分：</w:t>
      </w:r>
      <w:r>
        <w:rPr>
          <w:rFonts w:hint="eastAsia" w:asciiTheme="minorEastAsia" w:hAnsiTheme="minorEastAsia"/>
          <w:b w:val="0"/>
          <w:bCs/>
          <w:color w:val="000000"/>
          <w:sz w:val="24"/>
          <w:szCs w:val="24"/>
          <w:lang w:val="en-US" w:eastAsia="zh-CN"/>
        </w:rPr>
        <w:t>1</w:t>
      </w:r>
    </w:p>
    <w:p>
      <w:pPr>
        <w:snapToGrid w:val="0"/>
        <w:spacing w:line="300" w:lineRule="auto"/>
        <w:contextualSpacing/>
        <w:rPr>
          <w:rFonts w:hint="eastAsia" w:asciiTheme="minorEastAsia" w:hAnsiTheme="minorEastAsia" w:eastAsiaTheme="minorEastAsia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</w:rPr>
        <w:t xml:space="preserve">实验学时： </w:t>
      </w:r>
      <w:r>
        <w:rPr>
          <w:rFonts w:hint="eastAsia" w:asciiTheme="minorEastAsia" w:hAnsiTheme="minorEastAsia"/>
          <w:b w:val="0"/>
          <w:bCs/>
          <w:color w:val="000000"/>
          <w:sz w:val="24"/>
          <w:szCs w:val="24"/>
          <w:lang w:val="en-US" w:eastAsia="zh-CN"/>
        </w:rPr>
        <w:t>32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 xml:space="preserve">                         </w:t>
      </w:r>
      <w:r>
        <w:rPr>
          <w:rFonts w:hint="eastAsia" w:asciiTheme="minorEastAsia" w:hAnsiTheme="minorEastAsia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实验学分：</w:t>
      </w: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:lang w:val="en-US" w:eastAsia="zh-CN"/>
        </w:rPr>
        <w:t>1</w:t>
      </w:r>
    </w:p>
    <w:p>
      <w:pPr>
        <w:snapToGrid w:val="0"/>
        <w:spacing w:line="300" w:lineRule="auto"/>
        <w:contextualSpacing/>
        <w:rPr>
          <w:rFonts w:ascii="宋体" w:hAnsi="宋体" w:eastAsia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color w:val="000000"/>
          <w:sz w:val="24"/>
          <w:szCs w:val="24"/>
        </w:rPr>
        <w:t>适用专业：</w:t>
      </w:r>
      <w:r>
        <w:rPr>
          <w:rFonts w:hint="eastAsia" w:ascii="宋体" w:hAnsi="宋体" w:eastAsia="宋体"/>
          <w:b w:val="0"/>
          <w:bCs/>
          <w:color w:val="000000"/>
          <w:sz w:val="24"/>
          <w:szCs w:val="24"/>
        </w:rPr>
        <w:t>生物医学工程</w:t>
      </w:r>
    </w:p>
    <w:p>
      <w:pPr>
        <w:pStyle w:val="11"/>
        <w:shd w:val="clear" w:color="auto" w:fill="FFFFFF"/>
        <w:snapToGrid w:val="0"/>
        <w:spacing w:before="0" w:beforeAutospacing="0" w:after="0" w:afterAutospacing="0" w:line="300" w:lineRule="auto"/>
        <w:contextualSpacing/>
        <w:rPr>
          <w:b/>
          <w:color w:val="000000"/>
          <w:spacing w:val="-3"/>
        </w:rPr>
      </w:pPr>
      <w:r>
        <w:rPr>
          <w:rFonts w:hint="eastAsia"/>
          <w:b/>
          <w:color w:val="000000"/>
        </w:rPr>
        <w:t>一、教学目的、任务与要求</w:t>
      </w:r>
    </w:p>
    <w:p>
      <w:pPr>
        <w:snapToGrid w:val="0"/>
        <w:spacing w:line="300" w:lineRule="auto"/>
        <w:ind w:firstLine="425"/>
        <w:contextualSpacing/>
        <w:rPr>
          <w:rFonts w:ascii="宋体" w:hAnsi="宋体" w:eastAsia="宋体"/>
          <w:b/>
          <w:color w:val="000000"/>
          <w:sz w:val="24"/>
          <w:szCs w:val="24"/>
        </w:rPr>
      </w:pPr>
      <w:r>
        <w:rPr>
          <w:rFonts w:ascii="宋体" w:hAnsi="宋体" w:eastAsia="宋体"/>
          <w:b/>
          <w:color w:val="000000"/>
          <w:sz w:val="24"/>
          <w:szCs w:val="24"/>
        </w:rPr>
        <w:t>1.</w:t>
      </w:r>
      <w:r>
        <w:rPr>
          <w:rFonts w:hint="eastAsia" w:ascii="宋体" w:hAnsi="宋体" w:eastAsia="宋体"/>
          <w:b/>
          <w:color w:val="000000"/>
          <w:sz w:val="24"/>
          <w:szCs w:val="24"/>
        </w:rPr>
        <w:t>教学目的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</w:rPr>
        <w:t>《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4"/>
          <w:szCs w:val="24"/>
        </w:rPr>
        <w:t>生物医学专业竞赛实验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</w:rPr>
        <w:t>》是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 w:eastAsia="zh-CN"/>
        </w:rPr>
        <w:t>为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sz w:val="24"/>
          <w:szCs w:val="24"/>
          <w:shd w:val="clear" w:color="auto" w:fill="FFFFFF"/>
        </w:rPr>
        <w:t>激发专业学习兴趣、扩大人才培养影响的效应，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 w:eastAsia="zh-CN"/>
        </w:rPr>
        <w:t>满足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</w:rPr>
        <w:t>生物医学工程专业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 w:eastAsia="zh-CN"/>
        </w:rPr>
        <w:t>能力强、兴趣大、积极性高的部分学生开设的一门以参加专业学科竞赛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（教指委举办的“全国大学生生物医学工程创新设计竞赛”）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 w:eastAsia="zh-CN"/>
        </w:rPr>
        <w:t>为目的的前序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</w:rPr>
        <w:t>综合实验实践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选修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</w:rPr>
        <w:t>课程。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通过该实验课程，强化学生参加专业学科竞赛所必须的实验实践基础，同时也</w:t>
      </w:r>
      <w:r>
        <w:rPr>
          <w:rFonts w:hint="default" w:ascii="Times New Roman" w:hAnsi="Times New Roman" w:cs="Times New Roman"/>
          <w:b w:val="0"/>
          <w:bCs w:val="0"/>
          <w:sz w:val="24"/>
        </w:rPr>
        <w:t>对学生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学习后续</w:t>
      </w:r>
      <w:r>
        <w:rPr>
          <w:rFonts w:hint="default" w:ascii="Times New Roman" w:hAnsi="Times New Roman" w:cs="Times New Roman"/>
          <w:b w:val="0"/>
          <w:bCs w:val="0"/>
          <w:sz w:val="24"/>
        </w:rPr>
        <w:t>本专业课程以及生物医学工程相关领域科研和工作</w:t>
      </w:r>
      <w:r>
        <w:rPr>
          <w:rFonts w:hint="eastAsia" w:ascii="Times New Roman" w:hAnsi="Times New Roman" w:cs="Times New Roman"/>
          <w:b w:val="0"/>
          <w:bCs w:val="0"/>
          <w:sz w:val="24"/>
          <w:lang w:eastAsia="zh-CN"/>
        </w:rPr>
        <w:t>、</w:t>
      </w: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>SRTP及国创的申请执行</w:t>
      </w:r>
      <w:r>
        <w:rPr>
          <w:rFonts w:hint="default" w:ascii="Times New Roman" w:hAnsi="Times New Roman" w:cs="Times New Roman"/>
          <w:b w:val="0"/>
          <w:bCs w:val="0"/>
          <w:sz w:val="24"/>
        </w:rPr>
        <w:t>构建必要的实践应用基础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</w:rPr>
        <w:t>本实验课程需要学生</w:t>
      </w:r>
      <w:r>
        <w:rPr>
          <w:rFonts w:hint="default" w:ascii="Times New Roman" w:hAnsi="Times New Roman" w:cs="Times New Roman"/>
          <w:b w:val="0"/>
          <w:bCs w:val="0"/>
          <w:sz w:val="24"/>
        </w:rPr>
        <w:t>掌握</w:t>
      </w: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>常用仪器仪表的使用、</w:t>
      </w:r>
      <w:r>
        <w:rPr>
          <w:rFonts w:hint="default" w:ascii="Times New Roman" w:hAnsi="Times New Roman" w:cs="Times New Roman"/>
          <w:b w:val="0"/>
          <w:bCs w:val="0"/>
          <w:sz w:val="24"/>
        </w:rPr>
        <w:t>常用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设计软件（</w:t>
      </w:r>
      <w:r>
        <w:rPr>
          <w:rFonts w:hint="default" w:ascii="Times New Roman" w:hAnsi="Times New Roman" w:cs="Times New Roman"/>
          <w:b w:val="0"/>
          <w:bCs w:val="0"/>
        </w:rPr>
        <w:t>Altium Designer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电路设计软件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）的使用、常用生理信号</w:t>
      </w:r>
      <w:r>
        <w:rPr>
          <w:rFonts w:hint="default" w:ascii="Times New Roman" w:hAnsi="Times New Roman" w:cs="Times New Roman"/>
          <w:b w:val="0"/>
          <w:bCs w:val="0"/>
          <w:sz w:val="24"/>
        </w:rPr>
        <w:t>传感器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应用技术</w:t>
      </w:r>
      <w:r>
        <w:rPr>
          <w:rFonts w:hint="default" w:ascii="Times New Roman" w:hAnsi="Times New Roman" w:cs="Times New Roman"/>
          <w:b w:val="0"/>
          <w:bCs w:val="0"/>
          <w:sz w:val="24"/>
        </w:rPr>
        <w:t>、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放大及滤波电路设计</w:t>
      </w:r>
      <w:r>
        <w:rPr>
          <w:rFonts w:hint="default" w:ascii="Times New Roman" w:hAnsi="Times New Roman" w:cs="Times New Roman"/>
          <w:b w:val="0"/>
          <w:bCs w:val="0"/>
          <w:sz w:val="24"/>
        </w:rPr>
        <w:t>、</w:t>
      </w: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>信号调理电路的设计、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单片机核心设计及编程环境应用</w:t>
      </w:r>
      <w:r>
        <w:rPr>
          <w:rFonts w:hint="default" w:ascii="Times New Roman" w:hAnsi="Times New Roman" w:cs="Times New Roman"/>
          <w:b w:val="0"/>
          <w:bCs w:val="0"/>
          <w:sz w:val="24"/>
        </w:rPr>
        <w:t>等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实践应用知识</w:t>
      </w:r>
      <w:r>
        <w:rPr>
          <w:rFonts w:hint="default" w:ascii="Times New Roman" w:hAnsi="Times New Roman" w:cs="Times New Roman"/>
          <w:b w:val="0"/>
          <w:bCs w:val="0"/>
          <w:sz w:val="24"/>
        </w:rPr>
        <w:t>，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着重</w:t>
      </w:r>
      <w:r>
        <w:rPr>
          <w:rFonts w:hint="default" w:ascii="Times New Roman" w:hAnsi="Times New Roman" w:cs="Times New Roman"/>
          <w:b w:val="0"/>
          <w:bCs w:val="0"/>
          <w:sz w:val="24"/>
        </w:rPr>
        <w:t>掌握</w:t>
      </w: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>设计</w:t>
      </w:r>
      <w:r>
        <w:rPr>
          <w:rFonts w:hint="default" w:ascii="Times New Roman" w:hAnsi="Times New Roman" w:cs="Times New Roman"/>
          <w:b w:val="0"/>
          <w:bCs w:val="0"/>
          <w:sz w:val="24"/>
        </w:rPr>
        <w:t>应用电路以及实际应用案例。</w:t>
      </w:r>
    </w:p>
    <w:p>
      <w:pPr>
        <w:snapToGrid w:val="0"/>
        <w:spacing w:line="300" w:lineRule="auto"/>
        <w:ind w:firstLine="425"/>
        <w:contextualSpacing/>
        <w:rPr>
          <w:rFonts w:ascii="宋体" w:hAnsi="宋体" w:eastAsia="宋体"/>
          <w:b/>
          <w:color w:val="000000"/>
          <w:sz w:val="24"/>
          <w:szCs w:val="24"/>
        </w:rPr>
      </w:pPr>
      <w:r>
        <w:rPr>
          <w:rFonts w:ascii="宋体" w:hAnsi="宋体" w:eastAsia="宋体"/>
          <w:b/>
          <w:color w:val="000000"/>
          <w:sz w:val="24"/>
          <w:szCs w:val="24"/>
        </w:rPr>
        <w:t>2.</w:t>
      </w:r>
      <w:r>
        <w:rPr>
          <w:rFonts w:hint="eastAsia" w:ascii="宋体" w:hAnsi="宋体" w:eastAsia="宋体"/>
          <w:b/>
          <w:color w:val="000000"/>
          <w:sz w:val="24"/>
          <w:szCs w:val="24"/>
        </w:rPr>
        <w:t>教学任务</w:t>
      </w:r>
    </w:p>
    <w:p>
      <w:pPr>
        <w:snapToGrid w:val="0"/>
        <w:spacing w:line="300" w:lineRule="auto"/>
        <w:ind w:firstLine="480" w:firstLineChars="200"/>
        <w:rPr>
          <w:rFonts w:hint="default" w:ascii="Times New Roman" w:hAnsi="Times New Roman" w:cs="Times New Roman" w:eastAsiaTheme="minorEastAsia"/>
          <w:i w:val="0"/>
          <w:iCs w:val="0"/>
          <w:color w:val="000000" w:themeColor="text1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iCs w:val="0"/>
          <w:sz w:val="24"/>
          <w:szCs w:val="24"/>
          <w:lang w:val="en-US" w:eastAsia="zh-CN"/>
        </w:rPr>
        <w:t>通过本</w:t>
      </w:r>
      <w:r>
        <w:rPr>
          <w:rFonts w:hint="default" w:ascii="Times New Roman" w:hAnsi="Times New Roman" w:cs="Times New Roman" w:eastAsiaTheme="minorEastAsia"/>
          <w:i w:val="0"/>
          <w:iCs w:val="0"/>
          <w:sz w:val="24"/>
          <w:szCs w:val="24"/>
        </w:rPr>
        <w:t>实验实践课程</w:t>
      </w:r>
      <w:r>
        <w:rPr>
          <w:rFonts w:hint="default" w:ascii="Times New Roman" w:hAnsi="Times New Roman" w:cs="Times New Roman" w:eastAsiaTheme="minorEastAsia"/>
          <w:i w:val="0"/>
          <w:iCs w:val="0"/>
          <w:color w:val="000000" w:themeColor="text1"/>
          <w:sz w:val="24"/>
          <w:szCs w:val="24"/>
        </w:rPr>
        <w:t>学生应完成</w:t>
      </w:r>
      <w:r>
        <w:rPr>
          <w:rFonts w:hint="default" w:ascii="Times New Roman" w:hAnsi="Times New Roman" w:cs="Times New Roman" w:eastAsiaTheme="minorEastAsia"/>
          <w:i w:val="0"/>
          <w:iCs w:val="0"/>
          <w:color w:val="000000" w:themeColor="text1"/>
          <w:sz w:val="24"/>
          <w:szCs w:val="24"/>
          <w:lang w:val="en-US" w:eastAsia="zh-CN"/>
        </w:rPr>
        <w:t>以下</w:t>
      </w:r>
      <w:r>
        <w:rPr>
          <w:rFonts w:hint="default" w:ascii="Times New Roman" w:hAnsi="Times New Roman" w:cs="Times New Roman" w:eastAsiaTheme="minorEastAsia"/>
          <w:i w:val="0"/>
          <w:iCs w:val="0"/>
          <w:color w:val="000000" w:themeColor="text1"/>
          <w:sz w:val="24"/>
          <w:szCs w:val="24"/>
        </w:rPr>
        <w:t>学习任务</w:t>
      </w:r>
    </w:p>
    <w:p>
      <w:pPr>
        <w:numPr>
          <w:ilvl w:val="0"/>
          <w:numId w:val="1"/>
        </w:numPr>
        <w:snapToGrid w:val="0"/>
        <w:spacing w:line="300" w:lineRule="auto"/>
        <w:ind w:firstLine="480" w:firstLineChars="200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sz w:val="24"/>
          <w:szCs w:val="24"/>
          <w:lang w:val="en-US" w:eastAsia="zh-CN"/>
        </w:rPr>
        <w:t>掌握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sz w:val="24"/>
          <w:szCs w:val="24"/>
        </w:rPr>
        <w:t>Altium Designer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sz w:val="24"/>
          <w:szCs w:val="24"/>
          <w:lang w:val="en-US" w:eastAsia="zh-CN"/>
        </w:rPr>
        <w:t>电路设计软件的应用，熟练掌握并完成电路原理图设计、原件库制作、PCB设计等任务。</w:t>
      </w:r>
    </w:p>
    <w:p>
      <w:pPr>
        <w:numPr>
          <w:ilvl w:val="0"/>
          <w:numId w:val="1"/>
        </w:numPr>
        <w:snapToGrid w:val="0"/>
        <w:spacing w:line="300" w:lineRule="auto"/>
        <w:ind w:firstLine="480" w:firstLineChars="200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sz w:val="24"/>
          <w:szCs w:val="24"/>
          <w:lang w:val="en-US" w:eastAsia="zh-CN"/>
        </w:rPr>
        <w:t>掌握常用生理信号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sz w:val="24"/>
          <w:szCs w:val="24"/>
        </w:rPr>
        <w:t>传感器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sz w:val="24"/>
          <w:szCs w:val="24"/>
          <w:lang w:val="en-US" w:eastAsia="zh-CN"/>
        </w:rPr>
        <w:t>应用技术，如：传感器原理、常用传感器连接或处理电路等。</w:t>
      </w:r>
    </w:p>
    <w:p>
      <w:pPr>
        <w:numPr>
          <w:ilvl w:val="0"/>
          <w:numId w:val="1"/>
        </w:numPr>
        <w:snapToGrid w:val="0"/>
        <w:spacing w:line="300" w:lineRule="auto"/>
        <w:ind w:firstLine="480" w:firstLineChars="200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sz w:val="24"/>
          <w:szCs w:val="24"/>
          <w:lang w:val="en-US" w:eastAsia="zh-CN"/>
        </w:rPr>
        <w:t>掌握基本的放大电路、滤波电路、信号调理电路等基本知识，并完成在单电源、双电源供电模式下放大电路、滤波电路、信号调理电路的设计。</w:t>
      </w:r>
    </w:p>
    <w:p>
      <w:pPr>
        <w:numPr>
          <w:ilvl w:val="0"/>
          <w:numId w:val="1"/>
        </w:numPr>
        <w:snapToGrid w:val="0"/>
        <w:spacing w:line="300" w:lineRule="auto"/>
        <w:ind w:firstLine="480" w:firstLineChars="200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sz w:val="24"/>
          <w:szCs w:val="24"/>
          <w:lang w:val="en-US" w:eastAsia="zh-CN"/>
        </w:rPr>
        <w:t>掌握单片机相关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入门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sz w:val="24"/>
          <w:szCs w:val="24"/>
          <w:lang w:val="en-US" w:eastAsia="zh-CN"/>
        </w:rPr>
        <w:t>知识，熟练应用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相关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sz w:val="24"/>
          <w:szCs w:val="24"/>
          <w:lang w:val="en-US" w:eastAsia="zh-CN"/>
        </w:rPr>
        <w:t>编译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平台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sz w:val="24"/>
          <w:szCs w:val="24"/>
          <w:lang w:val="en-US" w:eastAsia="zh-CN"/>
        </w:rPr>
        <w:t>完成单片机编程，掌握单片机应用中IO端口控制、中断控制、定时器、AD转换、UART通讯等应用技能。</w:t>
      </w:r>
    </w:p>
    <w:p>
      <w:pPr>
        <w:snapToGrid w:val="0"/>
        <w:spacing w:line="300" w:lineRule="auto"/>
        <w:ind w:firstLine="544" w:firstLineChars="227"/>
        <w:contextualSpacing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学生在实验过程中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包涵课前、课堂、课后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应该完成以下工作：</w:t>
      </w:r>
    </w:p>
    <w:p>
      <w:pPr>
        <w:snapToGrid w:val="0"/>
        <w:spacing w:line="300" w:lineRule="auto"/>
        <w:ind w:firstLine="544" w:firstLineChars="227"/>
        <w:contextualSpacing/>
        <w:rPr>
          <w:rFonts w:asciiTheme="minorEastAsia" w:hAnsiTheme="minorEastAsia"/>
          <w:b/>
          <w:i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独立完成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相关软件安装、课前实验预习、</w:t>
      </w:r>
      <w:r>
        <w:rPr>
          <w:rFonts w:hint="eastAsia" w:asciiTheme="minorEastAsia" w:hAnsiTheme="minorEastAsia"/>
          <w:sz w:val="24"/>
          <w:szCs w:val="24"/>
        </w:rPr>
        <w:t>电路设计、电路焊接、电路调试、软件编程、系统测试、报告撰写工作。</w:t>
      </w:r>
    </w:p>
    <w:p>
      <w:pPr>
        <w:snapToGrid w:val="0"/>
        <w:spacing w:line="300" w:lineRule="auto"/>
        <w:ind w:firstLine="425"/>
        <w:contextualSpacing/>
        <w:rPr>
          <w:rFonts w:ascii="宋体" w:hAnsi="宋体" w:eastAsia="宋体"/>
          <w:b/>
          <w:color w:val="000000"/>
          <w:sz w:val="24"/>
          <w:szCs w:val="24"/>
        </w:rPr>
      </w:pPr>
      <w:r>
        <w:rPr>
          <w:rFonts w:ascii="宋体" w:hAnsi="宋体" w:eastAsia="宋体"/>
          <w:b/>
          <w:color w:val="000000"/>
          <w:sz w:val="24"/>
          <w:szCs w:val="24"/>
        </w:rPr>
        <w:t>3.</w:t>
      </w:r>
      <w:r>
        <w:rPr>
          <w:rFonts w:hint="eastAsia" w:ascii="宋体" w:hAnsi="宋体" w:eastAsia="宋体"/>
          <w:b/>
          <w:color w:val="000000"/>
          <w:sz w:val="24"/>
          <w:szCs w:val="24"/>
        </w:rPr>
        <w:t>教学要求</w:t>
      </w:r>
    </w:p>
    <w:p>
      <w:pPr>
        <w:snapToGrid w:val="0"/>
        <w:spacing w:line="300" w:lineRule="auto"/>
        <w:ind w:firstLine="425"/>
        <w:contextualSpacing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1）实验上课方式、分组要求及实验报告内容的要求：</w:t>
      </w:r>
    </w:p>
    <w:p>
      <w:pPr>
        <w:widowControl/>
        <w:spacing w:line="300" w:lineRule="auto"/>
        <w:ind w:firstLine="480" w:firstLineChars="200"/>
        <w:jc w:val="left"/>
        <w:rPr>
          <w:rFonts w:ascii="宋体" w:hAnsi="宋体"/>
          <w:bCs/>
          <w:kern w:val="0"/>
          <w:sz w:val="24"/>
          <w:szCs w:val="24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</w:rPr>
        <w:t>本实验课程教学</w:t>
      </w:r>
      <w:r>
        <w:rPr>
          <w:rFonts w:hint="eastAsia" w:ascii="宋体" w:hAnsi="宋体"/>
          <w:bCs/>
          <w:kern w:val="0"/>
          <w:sz w:val="24"/>
          <w:szCs w:val="24"/>
        </w:rPr>
        <w:t>采用</w:t>
      </w: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教师课堂引导、学生分组设计</w:t>
      </w:r>
      <w:r>
        <w:rPr>
          <w:rFonts w:hint="eastAsia" w:ascii="宋体" w:hAnsi="宋体"/>
          <w:bCs/>
          <w:kern w:val="0"/>
          <w:sz w:val="24"/>
          <w:szCs w:val="24"/>
        </w:rPr>
        <w:t>的授课方式</w:t>
      </w:r>
      <w:r>
        <w:rPr>
          <w:rFonts w:hint="eastAsia" w:ascii="宋体" w:hAnsi="宋体"/>
          <w:bCs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/>
          <w:bCs/>
          <w:kern w:val="0"/>
          <w:sz w:val="24"/>
          <w:szCs w:val="24"/>
        </w:rPr>
        <w:t>每组和老师按照实验排课课表进行一对一跟踪指导。</w:t>
      </w:r>
    </w:p>
    <w:p>
      <w:pPr>
        <w:widowControl/>
        <w:spacing w:line="300" w:lineRule="auto"/>
        <w:ind w:firstLine="480" w:firstLineChars="200"/>
        <w:jc w:val="left"/>
        <w:rPr>
          <w:rFonts w:ascii="宋体" w:hAns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学生参照竞赛原则，自愿组队，每队3人；</w:t>
      </w:r>
      <w:r>
        <w:rPr>
          <w:rFonts w:hint="eastAsia" w:ascii="宋体" w:hAnsi="宋体"/>
          <w:bCs/>
          <w:kern w:val="0"/>
          <w:sz w:val="24"/>
          <w:szCs w:val="24"/>
        </w:rPr>
        <w:t>最终答辩时每组需要提供：实验报告、相关设计硬件的实物功能演示。</w:t>
      </w:r>
    </w:p>
    <w:p>
      <w:pPr>
        <w:widowControl/>
        <w:spacing w:line="300" w:lineRule="auto"/>
        <w:ind w:left="2039" w:leftChars="228" w:hanging="1560" w:hangingChars="650"/>
        <w:jc w:val="left"/>
        <w:rPr>
          <w:rFonts w:ascii="宋体" w:hAns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实验报告包括：</w:t>
      </w:r>
    </w:p>
    <w:p>
      <w:pPr>
        <w:widowControl/>
        <w:spacing w:line="300" w:lineRule="auto"/>
        <w:ind w:left="2035" w:leftChars="969" w:firstLine="120" w:firstLineChars="50"/>
        <w:jc w:val="left"/>
        <w:rPr>
          <w:rFonts w:ascii="宋体" w:hAns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（</w:t>
      </w: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Cs/>
          <w:kern w:val="0"/>
          <w:sz w:val="24"/>
          <w:szCs w:val="24"/>
        </w:rPr>
        <w:t>）参数清晰的硬件设计电路图；</w:t>
      </w:r>
    </w:p>
    <w:p>
      <w:pPr>
        <w:widowControl/>
        <w:spacing w:line="300" w:lineRule="auto"/>
        <w:ind w:left="2035" w:leftChars="969" w:firstLine="120" w:firstLineChars="50"/>
        <w:jc w:val="left"/>
        <w:rPr>
          <w:rFonts w:ascii="宋体" w:hAns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（</w:t>
      </w: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Cs/>
          <w:kern w:val="0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调试测试报告</w:t>
      </w:r>
      <w:r>
        <w:rPr>
          <w:rFonts w:hint="eastAsia" w:ascii="宋体" w:hAnsi="宋体"/>
          <w:bCs/>
          <w:kern w:val="0"/>
          <w:sz w:val="24"/>
          <w:szCs w:val="24"/>
        </w:rPr>
        <w:t>（包含相关设计指标对照说明）；</w:t>
      </w:r>
    </w:p>
    <w:p>
      <w:pPr>
        <w:widowControl/>
        <w:spacing w:line="300" w:lineRule="auto"/>
        <w:ind w:left="2035" w:leftChars="969" w:firstLine="120" w:firstLineChars="50"/>
        <w:jc w:val="left"/>
        <w:rPr>
          <w:rFonts w:ascii="宋体" w:hAns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（</w:t>
      </w: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kern w:val="0"/>
          <w:sz w:val="24"/>
          <w:szCs w:val="24"/>
        </w:rPr>
        <w:t>）</w:t>
      </w: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程序流程图及实验结果截图</w:t>
      </w:r>
      <w:r>
        <w:rPr>
          <w:rFonts w:hint="eastAsia" w:ascii="宋体" w:hAnsi="宋体"/>
          <w:bCs/>
          <w:kern w:val="0"/>
          <w:sz w:val="24"/>
          <w:szCs w:val="24"/>
        </w:rPr>
        <w:t>。</w:t>
      </w:r>
    </w:p>
    <w:p>
      <w:pPr>
        <w:snapToGrid w:val="0"/>
        <w:spacing w:line="300" w:lineRule="auto"/>
        <w:ind w:firstLine="425"/>
        <w:contextualSpacing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/>
          <w:color w:val="000000"/>
          <w:sz w:val="24"/>
          <w:szCs w:val="24"/>
        </w:rPr>
        <w:t>2）实验过程的要求：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eastAsia="宋体" w:cs="宋体"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 xml:space="preserve">     </w:t>
      </w:r>
      <w:r>
        <w:rPr>
          <w:rFonts w:hint="eastAsia" w:ascii="宋体" w:eastAsia="宋体" w:cs="宋体"/>
          <w:kern w:val="0"/>
          <w:sz w:val="24"/>
          <w:szCs w:val="24"/>
        </w:rPr>
        <w:t>实验时要求遵守仪器使用手册使用仪器，讲纪律，有秩序的进行实验，同时各组应严格按各自的设计执行相关实验，并做好记录。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ind w:left="600" w:leftChars="0"/>
        <w:jc w:val="left"/>
        <w:rPr>
          <w:rFonts w:hint="eastAsia" w:ascii="宋体" w:eastAsia="宋体" w:cs="宋体"/>
          <w:kern w:val="0"/>
          <w:sz w:val="24"/>
          <w:szCs w:val="24"/>
          <w:lang w:val="en-US" w:eastAsia="zh-CN"/>
        </w:rPr>
      </w:pPr>
    </w:p>
    <w:p>
      <w:pPr>
        <w:snapToGrid w:val="0"/>
        <w:spacing w:line="300" w:lineRule="auto"/>
        <w:contextualSpacing/>
        <w:rPr>
          <w:rFonts w:ascii="宋体" w:hAnsi="宋体" w:eastAsia="宋体"/>
          <w:b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color w:val="000000"/>
          <w:sz w:val="24"/>
          <w:szCs w:val="24"/>
        </w:rPr>
        <w:t>二、课程内容（项目）及学时分配</w:t>
      </w:r>
    </w:p>
    <w:tbl>
      <w:tblPr>
        <w:tblStyle w:val="7"/>
        <w:tblW w:w="88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752"/>
        <w:gridCol w:w="2397"/>
        <w:gridCol w:w="1212"/>
        <w:gridCol w:w="1197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contextualSpacing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实验项目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项目内容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项目学时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实验类型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项目性质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</w:rPr>
              <w:t>Altium Designer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电路设计软件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应用实验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312" w:lineRule="auto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Altium Designer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软件的安装及注意事项；</w:t>
            </w:r>
          </w:p>
          <w:p>
            <w:pPr>
              <w:numPr>
                <w:ilvl w:val="0"/>
                <w:numId w:val="2"/>
              </w:numPr>
              <w:spacing w:line="312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掌握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原理图绘制、元器件库/PCB库、PCB板制作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设计性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必做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基于常用传感器的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放大电路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信号处理实验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numPr>
                <w:ilvl w:val="0"/>
                <w:numId w:val="0"/>
              </w:numPr>
              <w:snapToGrid w:val="0"/>
              <w:spacing w:line="300" w:lineRule="auto"/>
              <w:contextualSpacing/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掌握常用生理信号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</w:rPr>
              <w:t>传感器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应用技术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14"/>
              <w:numPr>
                <w:ilvl w:val="0"/>
                <w:numId w:val="0"/>
              </w:numPr>
              <w:snapToGrid w:val="0"/>
              <w:spacing w:line="300" w:lineRule="auto"/>
              <w:contextualSpacing/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完成在单电源、双电源供电模式下放大电路、滤波电路、信号调理电路的设计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综合性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必做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基于单片机IO端口控制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及编译平台应用实验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numPr>
                <w:ilvl w:val="0"/>
                <w:numId w:val="0"/>
              </w:numPr>
              <w:snapToGrid w:val="0"/>
              <w:spacing w:line="300" w:lineRule="auto"/>
              <w:ind w:leftChars="0"/>
              <w:contextualSpacing/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1、了解所选单片机相关外设的特点。</w:t>
            </w:r>
          </w:p>
          <w:p>
            <w:pPr>
              <w:pStyle w:val="14"/>
              <w:numPr>
                <w:ilvl w:val="0"/>
                <w:numId w:val="0"/>
              </w:numPr>
              <w:snapToGrid w:val="0"/>
              <w:spacing w:line="300" w:lineRule="auto"/>
              <w:ind w:leftChars="0"/>
              <w:contextualSpacing/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2、熟练应用编译平台进行程序设计。</w:t>
            </w:r>
          </w:p>
          <w:p>
            <w:pPr>
              <w:pStyle w:val="14"/>
              <w:numPr>
                <w:ilvl w:val="0"/>
                <w:numId w:val="0"/>
              </w:numPr>
              <w:snapToGrid w:val="0"/>
              <w:spacing w:line="300" w:lineRule="auto"/>
              <w:ind w:leftChars="0"/>
              <w:contextualSpacing/>
              <w:rPr>
                <w:rFonts w:asciiTheme="minorEastAsia" w:hAnsiTheme="min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3、完成基于IO的按键、显示等人机交互实验。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设计性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必做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基于单片机中断控制、定时器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应用实验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beforeLines="50" w:line="24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熟悉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单片机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的中断类型、机理、中断源。 </w:t>
            </w:r>
          </w:p>
          <w:p>
            <w:pPr>
              <w:numPr>
                <w:ilvl w:val="0"/>
                <w:numId w:val="0"/>
              </w:numPr>
              <w:spacing w:beforeLines="50" w:line="24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掌握对中断寄存器的操作、中断服务程序的设计、中断进行响应和处理及低功耗模式的应用。</w:t>
            </w:r>
          </w:p>
          <w:p>
            <w:pPr>
              <w:pStyle w:val="14"/>
              <w:numPr>
                <w:ilvl w:val="0"/>
                <w:numId w:val="0"/>
              </w:numPr>
              <w:snapToGrid w:val="0"/>
              <w:spacing w:line="240" w:lineRule="auto"/>
              <w:ind w:leftChars="0"/>
              <w:contextualSpacing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掌握定时器、计数器寄存器操作，熟练编写相关程序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设计性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必做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基于单片机的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UART通讯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应用实验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beforeLines="5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了解串口通信相关协议。 掌握对串口通信相关寄存器的操作。</w:t>
            </w:r>
          </w:p>
          <w:p>
            <w:pPr>
              <w:numPr>
                <w:ilvl w:val="0"/>
                <w:numId w:val="3"/>
              </w:numPr>
              <w:spacing w:beforeLines="5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实现单片机与上位机通讯</w:t>
            </w:r>
          </w:p>
          <w:p>
            <w:pPr>
              <w:pStyle w:val="14"/>
              <w:numPr>
                <w:ilvl w:val="0"/>
                <w:numId w:val="0"/>
              </w:numPr>
              <w:snapToGrid w:val="0"/>
              <w:spacing w:line="300" w:lineRule="auto"/>
              <w:contextualSpacing/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综合性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必做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基于单片机的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AD转换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应用实验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1．熟悉A/D转换的原理及A/D转换器相关技术指标。 </w:t>
            </w:r>
          </w:p>
          <w:p>
            <w:pPr>
              <w:spacing w:beforeLines="5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2．掌握A/D转换器模块相关的寄存器的应用、配置。</w:t>
            </w:r>
          </w:p>
          <w:p>
            <w:pPr>
              <w:spacing w:beforeLines="5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3．能熟练利用C编写A/D转换器模块的应用程序。</w:t>
            </w:r>
          </w:p>
          <w:p>
            <w:pPr>
              <w:pStyle w:val="14"/>
              <w:numPr>
                <w:ilvl w:val="0"/>
                <w:numId w:val="0"/>
              </w:numPr>
              <w:snapToGrid w:val="0"/>
              <w:spacing w:line="300" w:lineRule="auto"/>
              <w:ind w:leftChars="0"/>
              <w:contextualSpacing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综合性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必做</w:t>
            </w:r>
          </w:p>
        </w:tc>
      </w:tr>
    </w:tbl>
    <w:p>
      <w:pPr>
        <w:snapToGrid w:val="0"/>
        <w:spacing w:line="300" w:lineRule="auto"/>
        <w:contextualSpacing/>
        <w:rPr>
          <w:rFonts w:ascii="宋体" w:hAnsi="宋体" w:eastAsia="宋体"/>
          <w:b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color w:val="000000"/>
          <w:sz w:val="24"/>
          <w:szCs w:val="24"/>
        </w:rPr>
        <w:t>三、教材</w:t>
      </w:r>
    </w:p>
    <w:p>
      <w:pPr>
        <w:snapToGrid w:val="0"/>
        <w:spacing w:line="300" w:lineRule="auto"/>
        <w:ind w:firstLine="472" w:firstLineChars="196"/>
        <w:contextualSpacing/>
        <w:rPr>
          <w:rFonts w:ascii="宋体" w:hAnsi="宋体" w:eastAsia="宋体"/>
          <w:b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color w:val="000000"/>
          <w:sz w:val="24"/>
          <w:szCs w:val="24"/>
        </w:rPr>
        <w:t>使用教材：</w:t>
      </w:r>
    </w:p>
    <w:p>
      <w:pPr>
        <w:snapToGrid w:val="0"/>
        <w:spacing w:line="300" w:lineRule="auto"/>
        <w:ind w:firstLine="600" w:firstLineChars="250"/>
        <w:contextualSpacing/>
        <w:rPr>
          <w:rFonts w:hint="eastAsia" w:asciiTheme="minorEastAsia" w:hAnsiTheme="minorEastAsia" w:eastAsiaTheme="minorEastAsia" w:cstheme="minorEastAsia"/>
          <w:i w:val="0"/>
          <w:iCs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/>
          <w:color w:val="000000" w:themeColor="text1"/>
          <w:sz w:val="24"/>
          <w:szCs w:val="24"/>
        </w:rPr>
        <w:t>1.《</w:t>
      </w:r>
      <w:r>
        <w:rPr>
          <w:rFonts w:hint="eastAsia" w:asciiTheme="minorEastAsia" w:hAnsiTheme="minorEastAsia" w:eastAsiaTheme="minorEastAsia" w:cstheme="minorEastAsia"/>
          <w:i w:val="0"/>
          <w:iCs/>
          <w:color w:val="auto"/>
          <w:kern w:val="0"/>
          <w:sz w:val="24"/>
          <w:szCs w:val="24"/>
        </w:rPr>
        <w:t>生物医学专业竞赛实验</w:t>
      </w:r>
      <w:r>
        <w:rPr>
          <w:rFonts w:hint="eastAsia" w:asciiTheme="minorEastAsia" w:hAnsiTheme="minorEastAsia" w:eastAsiaTheme="minorEastAsia" w:cstheme="minorEastAsia"/>
          <w:i w:val="0"/>
          <w:iCs/>
          <w:sz w:val="24"/>
          <w:szCs w:val="24"/>
        </w:rPr>
        <w:t>指导书</w:t>
      </w:r>
      <w:r>
        <w:rPr>
          <w:rFonts w:hint="eastAsia" w:asciiTheme="minorEastAsia" w:hAnsiTheme="minorEastAsia" w:eastAsiaTheme="minorEastAsia" w:cstheme="minorEastAsia"/>
          <w:i w:val="0"/>
          <w:iCs/>
          <w:color w:val="000000" w:themeColor="text1"/>
          <w:sz w:val="24"/>
          <w:szCs w:val="24"/>
        </w:rPr>
        <w:t>》，赵晓明编,自编讲义</w:t>
      </w:r>
    </w:p>
    <w:p>
      <w:pPr>
        <w:snapToGrid w:val="0"/>
        <w:spacing w:line="300" w:lineRule="auto"/>
        <w:ind w:firstLine="482" w:firstLineChars="200"/>
        <w:contextualSpacing/>
        <w:rPr>
          <w:rFonts w:hint="eastAsia" w:ascii="宋体" w:hAnsi="宋体" w:eastAsia="宋体"/>
          <w:b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color w:val="000000"/>
          <w:sz w:val="24"/>
          <w:szCs w:val="24"/>
        </w:rPr>
        <w:t>参考教材（资料）：</w:t>
      </w:r>
    </w:p>
    <w:p>
      <w:pPr>
        <w:snapToGrid w:val="0"/>
        <w:spacing w:line="300" w:lineRule="auto"/>
        <w:ind w:firstLine="480" w:firstLineChars="200"/>
        <w:contextualSpacing/>
        <w:rPr>
          <w:rFonts w:hint="eastAsia" w:ascii="宋体" w:hAnsi="宋体" w:eastAsia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/>
          <w:color w:val="000000"/>
          <w:sz w:val="24"/>
          <w:szCs w:val="24"/>
          <w:lang w:val="en-US" w:eastAsia="zh-CN"/>
        </w:rPr>
        <w:t>（1）.柯特尔（美）等著，姚剑清 译《运算放大器权威指南（第3版）》人民邮电出版社 2010.10</w:t>
      </w:r>
    </w:p>
    <w:p>
      <w:pPr>
        <w:spacing w:line="30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任保宏等《MSP430单片机原理与应用》电子工业出版社</w:t>
      </w:r>
      <w:r>
        <w:rPr>
          <w:rFonts w:ascii="宋体" w:hAnsi="宋体"/>
          <w:sz w:val="24"/>
          <w:szCs w:val="24"/>
        </w:rPr>
        <w:t xml:space="preserve"> 20</w:t>
      </w:r>
      <w:r>
        <w:rPr>
          <w:rFonts w:hint="eastAsia" w:ascii="宋体" w:hAnsi="宋体"/>
          <w:sz w:val="24"/>
          <w:szCs w:val="24"/>
        </w:rPr>
        <w:t>14</w:t>
      </w:r>
      <w:r>
        <w:rPr>
          <w:rFonts w:ascii="宋体" w:hAnsi="宋体"/>
          <w:sz w:val="24"/>
          <w:szCs w:val="24"/>
        </w:rPr>
        <w:t>.1</w:t>
      </w:r>
    </w:p>
    <w:p>
      <w:pPr>
        <w:snapToGrid w:val="0"/>
        <w:spacing w:line="300" w:lineRule="auto"/>
        <w:contextualSpacing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color w:val="000000"/>
          <w:sz w:val="24"/>
          <w:szCs w:val="24"/>
        </w:rPr>
        <w:t>四、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考核方式及成绩评定标准</w:t>
      </w:r>
    </w:p>
    <w:p>
      <w:pPr>
        <w:snapToGrid w:val="0"/>
        <w:spacing w:line="300" w:lineRule="auto"/>
        <w:ind w:firstLine="472" w:firstLineChars="196"/>
        <w:contextualSpacing/>
        <w:rPr>
          <w:rFonts w:ascii="宋体" w:hAnsi="宋体" w:eastAsia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b/>
          <w:color w:val="000000" w:themeColor="text1"/>
          <w:sz w:val="24"/>
          <w:szCs w:val="24"/>
        </w:rPr>
        <w:t>成绩评分标准说明</w:t>
      </w:r>
    </w:p>
    <w:tbl>
      <w:tblPr>
        <w:tblStyle w:val="7"/>
        <w:tblW w:w="84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993"/>
        <w:gridCol w:w="6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31" w:type="dxa"/>
            <w:vAlign w:val="center"/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6368" w:type="dxa"/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评定标准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31" w:type="dxa"/>
            <w:vAlign w:val="center"/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实验预习及作业检查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368" w:type="dxa"/>
          </w:tcPr>
          <w:p>
            <w:pPr>
              <w:numPr>
                <w:ilvl w:val="0"/>
                <w:numId w:val="4"/>
              </w:numPr>
              <w:snapToGrid w:val="0"/>
              <w:spacing w:line="300" w:lineRule="auto"/>
              <w:ind w:left="425" w:leftChars="0" w:hanging="425" w:firstLineChars="0"/>
              <w:contextualSpacing/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对当前实验是否进行了课前预习，包括对相关软件平台的预装、熟悉程度等考察（10分）</w:t>
            </w:r>
          </w:p>
          <w:p>
            <w:pPr>
              <w:numPr>
                <w:ilvl w:val="0"/>
                <w:numId w:val="4"/>
              </w:numPr>
              <w:snapToGrid w:val="0"/>
              <w:spacing w:line="300" w:lineRule="auto"/>
              <w:ind w:left="425" w:leftChars="0" w:hanging="425" w:firstLineChars="0"/>
              <w:contextualSpacing/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涉及的电路设计或者模块程序编写是否有大致的方案，或通过查找资料，是否进行了提前设计？（10分）</w:t>
            </w:r>
          </w:p>
          <w:p>
            <w:pPr>
              <w:numPr>
                <w:ilvl w:val="0"/>
                <w:numId w:val="4"/>
              </w:numPr>
              <w:snapToGrid w:val="0"/>
              <w:spacing w:line="300" w:lineRule="auto"/>
              <w:ind w:left="425" w:leftChars="0" w:hanging="425" w:firstLineChars="0"/>
              <w:contextualSpacing/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布置的课下任务，是否准时正确的完成情况考察（10分）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31" w:type="dxa"/>
            <w:vAlign w:val="center"/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整个实验执行过程的考核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auto"/>
              <w:contextualSpacing/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6368" w:type="dxa"/>
          </w:tcPr>
          <w:p>
            <w:pPr>
              <w:snapToGrid w:val="0"/>
              <w:spacing w:line="300" w:lineRule="auto"/>
              <w:ind w:left="360" w:hanging="360" w:hangingChars="150"/>
              <w:contextualSpacing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实验课堂纪律要求：严禁在实验课中做与实验内容无关的事情，准时到课，严格执行实验室相关管理制度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（10分）</w:t>
            </w:r>
          </w:p>
          <w:p>
            <w:pPr>
              <w:snapToGrid w:val="0"/>
              <w:spacing w:line="300" w:lineRule="auto"/>
              <w:ind w:left="360" w:hanging="360" w:hangingChars="150"/>
              <w:contextualSpacing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实验过程中是否按照教师或实验指导书的要求进行实验？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现场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测试结果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是否满足要求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？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是否能达到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实验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设定的指标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。（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分）</w:t>
            </w:r>
          </w:p>
          <w:p>
            <w:pPr>
              <w:snapToGrid w:val="0"/>
              <w:spacing w:line="300" w:lineRule="auto"/>
              <w:ind w:left="315" w:hanging="315"/>
              <w:contextualSpacing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仪器操作使用规范性考察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课堂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相关示波器、信号源、直流电源等仪器的操作使用情况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课后实验设备的归位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31" w:type="dxa"/>
            <w:vAlign w:val="center"/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实验报告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auto"/>
              <w:ind w:firstLine="120" w:firstLineChars="50"/>
              <w:contextualSpacing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368" w:type="dxa"/>
          </w:tcPr>
          <w:p>
            <w:pPr>
              <w:numPr>
                <w:ilvl w:val="0"/>
                <w:numId w:val="5"/>
              </w:numPr>
              <w:snapToGrid w:val="0"/>
              <w:spacing w:line="300" w:lineRule="auto"/>
              <w:contextualSpacing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实验报告是否包含</w:t>
            </w:r>
            <w:r>
              <w:rPr>
                <w:rFonts w:hint="eastAsia" w:eastAsia="宋体" w:asciiTheme="minorEastAsia" w:hAnsiTheme="minorEastAsia"/>
                <w:sz w:val="24"/>
                <w:szCs w:val="24"/>
                <w:lang w:val="en-US" w:eastAsia="zh-CN"/>
              </w:rPr>
              <w:t>实验结果及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调试测试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过程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。（1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分）</w:t>
            </w:r>
          </w:p>
          <w:p>
            <w:pPr>
              <w:numPr>
                <w:ilvl w:val="0"/>
                <w:numId w:val="5"/>
              </w:numPr>
              <w:snapToGrid w:val="0"/>
              <w:spacing w:line="300" w:lineRule="auto"/>
              <w:contextualSpacing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对整个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实验过程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记录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是否清晰，相关实验实物的测试记录完整，是否完整包含相关的电路图及必要的程序代码。（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分）</w:t>
            </w:r>
          </w:p>
          <w:p>
            <w:pPr>
              <w:numPr>
                <w:ilvl w:val="0"/>
                <w:numId w:val="5"/>
              </w:numPr>
              <w:snapToGrid w:val="0"/>
              <w:spacing w:line="300" w:lineRule="auto"/>
              <w:contextualSpacing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能对实验结果或实验中出现的问题进行分析，并把实验中遇到的故障及排除方法记录下来。（5分）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31" w:type="dxa"/>
            <w:vAlign w:val="center"/>
          </w:tcPr>
          <w:p>
            <w:pPr>
              <w:snapToGrid w:val="0"/>
              <w:spacing w:line="300" w:lineRule="auto"/>
              <w:contextualSpacing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备注：</w:t>
            </w:r>
          </w:p>
        </w:tc>
        <w:tc>
          <w:tcPr>
            <w:tcW w:w="7361" w:type="dxa"/>
            <w:gridSpan w:val="2"/>
            <w:vAlign w:val="center"/>
          </w:tcPr>
          <w:p>
            <w:pPr>
              <w:snapToGrid w:val="0"/>
              <w:spacing w:line="300" w:lineRule="auto"/>
              <w:contextualSpacing/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1、无故旷课2次及以上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实验成绩评定为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分。</w:t>
            </w:r>
          </w:p>
          <w:p>
            <w:pPr>
              <w:snapToGrid w:val="0"/>
              <w:spacing w:line="300" w:lineRule="auto"/>
              <w:contextualSpacing/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2、未按照实验室相关管理制度执行的同学，警告2次以上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实验成绩评定为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分。</w:t>
            </w:r>
          </w:p>
          <w:p>
            <w:pPr>
              <w:snapToGrid w:val="0"/>
              <w:spacing w:line="300" w:lineRule="auto"/>
              <w:contextualSpacing/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3、本实验课程为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教指委举办的“全国大学生生物医学工程创新设计竞赛”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基础培训课程，原则上选课的同学需参加竞赛，慎选。</w:t>
            </w:r>
            <w:bookmarkStart w:id="0" w:name="_GoBack"/>
            <w:bookmarkEnd w:id="0"/>
          </w:p>
          <w:p>
            <w:pPr>
              <w:snapToGrid w:val="0"/>
              <w:spacing w:line="300" w:lineRule="auto"/>
              <w:contextualSpacing/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</w:tbl>
    <w:p>
      <w:pPr>
        <w:snapToGrid w:val="0"/>
        <w:spacing w:line="300" w:lineRule="auto"/>
        <w:ind w:firstLine="480"/>
        <w:contextualSpacing/>
        <w:rPr>
          <w:rFonts w:ascii="宋体" w:hAnsi="宋体" w:eastAsia="宋体"/>
          <w:color w:val="000000" w:themeColor="text1"/>
          <w:sz w:val="18"/>
          <w:szCs w:val="18"/>
        </w:rPr>
      </w:pPr>
    </w:p>
    <w:p>
      <w:pPr>
        <w:snapToGrid w:val="0"/>
        <w:spacing w:line="300" w:lineRule="auto"/>
        <w:ind w:firstLine="480"/>
        <w:contextualSpacing/>
        <w:rPr>
          <w:rFonts w:ascii="宋体" w:hAnsi="宋体" w:eastAsia="宋体"/>
          <w:color w:val="000000" w:themeColor="text1"/>
          <w:sz w:val="18"/>
          <w:szCs w:val="18"/>
        </w:rPr>
      </w:pPr>
    </w:p>
    <w:p>
      <w:pPr>
        <w:snapToGrid w:val="0"/>
        <w:spacing w:line="300" w:lineRule="auto"/>
        <w:contextualSpacing/>
        <w:rPr>
          <w:rFonts w:ascii="宋体" w:hAnsi="宋体" w:eastAsia="宋体"/>
          <w:color w:val="000000" w:themeColor="text1"/>
          <w:sz w:val="18"/>
          <w:szCs w:val="18"/>
        </w:rPr>
      </w:pPr>
    </w:p>
    <w:p>
      <w:pPr>
        <w:snapToGrid w:val="0"/>
        <w:spacing w:line="300" w:lineRule="auto"/>
        <w:contextualSpacing/>
        <w:rPr>
          <w:rFonts w:ascii="宋体" w:hAnsi="宋体" w:eastAsia="宋体"/>
          <w:color w:val="000000" w:themeColor="text1"/>
          <w:sz w:val="18"/>
          <w:szCs w:val="18"/>
        </w:rPr>
      </w:pPr>
    </w:p>
    <w:p>
      <w:pPr>
        <w:spacing w:line="300" w:lineRule="auto"/>
        <w:contextualSpacing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大纲执笔人：   赵晓明                         大纲审定人：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625586"/>
    <w:multiLevelType w:val="singleLevel"/>
    <w:tmpl w:val="D462558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50FC111"/>
    <w:multiLevelType w:val="singleLevel"/>
    <w:tmpl w:val="F50FC11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6F0E405"/>
    <w:multiLevelType w:val="singleLevel"/>
    <w:tmpl w:val="06F0E40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B275B4F"/>
    <w:multiLevelType w:val="singleLevel"/>
    <w:tmpl w:val="0B275B4F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3F3B0CC9"/>
    <w:multiLevelType w:val="multilevel"/>
    <w:tmpl w:val="3F3B0CC9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F20"/>
    <w:rsid w:val="000305CA"/>
    <w:rsid w:val="001D1CCB"/>
    <w:rsid w:val="001D2E98"/>
    <w:rsid w:val="002013D9"/>
    <w:rsid w:val="002D31AD"/>
    <w:rsid w:val="00332040"/>
    <w:rsid w:val="00344DC4"/>
    <w:rsid w:val="004F19A3"/>
    <w:rsid w:val="00513BF7"/>
    <w:rsid w:val="005E5360"/>
    <w:rsid w:val="00694DBD"/>
    <w:rsid w:val="006F6959"/>
    <w:rsid w:val="00710F20"/>
    <w:rsid w:val="00735C8B"/>
    <w:rsid w:val="0079206C"/>
    <w:rsid w:val="007E7E9A"/>
    <w:rsid w:val="00893D88"/>
    <w:rsid w:val="008C11C0"/>
    <w:rsid w:val="009312ED"/>
    <w:rsid w:val="00933966"/>
    <w:rsid w:val="00A96713"/>
    <w:rsid w:val="00AA07FD"/>
    <w:rsid w:val="00AE3C22"/>
    <w:rsid w:val="00C30236"/>
    <w:rsid w:val="00D67047"/>
    <w:rsid w:val="00D840A0"/>
    <w:rsid w:val="00DA683B"/>
    <w:rsid w:val="00DC7119"/>
    <w:rsid w:val="00E22B89"/>
    <w:rsid w:val="00E87D45"/>
    <w:rsid w:val="00EF4777"/>
    <w:rsid w:val="00F54908"/>
    <w:rsid w:val="00FB0B9F"/>
    <w:rsid w:val="00FF5834"/>
    <w:rsid w:val="016E37AE"/>
    <w:rsid w:val="043E11FA"/>
    <w:rsid w:val="05F06C63"/>
    <w:rsid w:val="081C0C89"/>
    <w:rsid w:val="096A3142"/>
    <w:rsid w:val="0A9F717B"/>
    <w:rsid w:val="0B054319"/>
    <w:rsid w:val="0CED09BA"/>
    <w:rsid w:val="0E8C29BA"/>
    <w:rsid w:val="0EAA7D25"/>
    <w:rsid w:val="10655392"/>
    <w:rsid w:val="132A3490"/>
    <w:rsid w:val="13BC2889"/>
    <w:rsid w:val="16754791"/>
    <w:rsid w:val="180D718D"/>
    <w:rsid w:val="28DC5229"/>
    <w:rsid w:val="2DC23535"/>
    <w:rsid w:val="2E5B35A8"/>
    <w:rsid w:val="363E15AB"/>
    <w:rsid w:val="36751A5D"/>
    <w:rsid w:val="37EE1A3E"/>
    <w:rsid w:val="3A760EA8"/>
    <w:rsid w:val="3D2975DB"/>
    <w:rsid w:val="3DDF60CB"/>
    <w:rsid w:val="498B6301"/>
    <w:rsid w:val="4F275A89"/>
    <w:rsid w:val="4FE65A06"/>
    <w:rsid w:val="50F73ECA"/>
    <w:rsid w:val="60353A81"/>
    <w:rsid w:val="64E65409"/>
    <w:rsid w:val="68D548AF"/>
    <w:rsid w:val="6E7F4FA8"/>
    <w:rsid w:val="757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qFormat/>
    <w:uiPriority w:val="99"/>
    <w:pPr>
      <w:spacing w:line="320" w:lineRule="exact"/>
      <w:ind w:left="540" w:firstLine="540"/>
    </w:pPr>
    <w:rPr>
      <w:rFonts w:ascii="宋体" w:hAnsi="宋体" w:eastAsia="宋体" w:cs="Times New Roman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正文文本缩进 Char"/>
    <w:basedOn w:val="6"/>
    <w:link w:val="2"/>
    <w:semiHidden/>
    <w:qFormat/>
    <w:uiPriority w:val="99"/>
    <w:rPr>
      <w:rFonts w:ascii="宋体" w:hAnsi="宋体" w:eastAsia="宋体" w:cs="Times New Roman"/>
      <w:szCs w:val="24"/>
    </w:rPr>
  </w:style>
  <w:style w:type="paragraph" w:customStyle="1" w:styleId="11">
    <w:name w:val="reader-word-layer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a-size-large1"/>
    <w:qFormat/>
    <w:uiPriority w:val="0"/>
    <w:rPr>
      <w:rFonts w:hint="default" w:ascii="Arial" w:hAnsi="Arial" w:cs="Arial"/>
    </w:r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604</Words>
  <Characters>3443</Characters>
  <Lines>28</Lines>
  <Paragraphs>8</Paragraphs>
  <TotalTime>2</TotalTime>
  <ScaleCrop>false</ScaleCrop>
  <LinksUpToDate>false</LinksUpToDate>
  <CharactersWithSpaces>4039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2017-03-10T09:21:00Z</dcterms:created>
  <dc:creator>周建林</dc:creator>
  <cp:lastModifiedBy>天波皓渺</cp:lastModifiedBy>
  <dcterms:modified xsi:type="dcterms:W3CDTF">2018-12-19T06:42:39Z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